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9F1DD" w14:textId="40C1D3EA" w:rsidR="00A33FD5" w:rsidRPr="00A33FD5" w:rsidRDefault="00A33FD5" w:rsidP="00A33FD5">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33FD5">
        <w:rPr>
          <w:rFonts w:ascii="Times New Roman" w:eastAsia="Times New Roman" w:hAnsi="Times New Roman" w:cs="Times New Roman"/>
          <w:b/>
          <w:bCs/>
          <w:kern w:val="36"/>
          <w:sz w:val="48"/>
          <w:szCs w:val="48"/>
          <w14:ligatures w14:val="none"/>
        </w:rPr>
        <w:t xml:space="preserve">Entangled </w:t>
      </w:r>
      <w:r>
        <w:rPr>
          <w:rFonts w:ascii="Times New Roman" w:eastAsia="Times New Roman" w:hAnsi="Times New Roman" w:cs="Times New Roman"/>
          <w:b/>
          <w:bCs/>
          <w:kern w:val="36"/>
          <w:sz w:val="48"/>
          <w:szCs w:val="48"/>
          <w14:ligatures w14:val="none"/>
        </w:rPr>
        <w:t>Quanta</w:t>
      </w:r>
    </w:p>
    <w:p w14:paraId="311238E2" w14:textId="6D5F1552"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Like entangled particles in quantum mechanics, the cognitive and moral arguments for faith exhibit a kind of non</w:t>
      </w:r>
      <w:r w:rsidRPr="00A33FD5">
        <w:rPr>
          <w:rFonts w:ascii="Times New Roman" w:eastAsia="Times New Roman" w:hAnsi="Times New Roman" w:cs="Times New Roman"/>
          <w:kern w:val="0"/>
          <w14:ligatures w14:val="none"/>
        </w:rPr>
        <w:noBreakHyphen/>
        <w:t>local correlation. They arise from different sources — one from the deep structures of human cognition, the other from the historical architecture of Western morality — yet they point toward the same underlying structure of reality. Even when considered at a distance, each reinforces the other. The first quantum shows that humans are wired for belief and flourish through it; the second shows that the moral world we inhabit is itself the product of a Christian vision of the human person. These two quanta are not identical, but they are entangled: separate lines of evidence that together form a coherent picture of what it means to be human.</w:t>
      </w:r>
    </w:p>
    <w:p w14:paraId="231CF186" w14:textId="77777777" w:rsidR="00A33FD5" w:rsidRPr="00A33FD5" w:rsidRDefault="00A33FD5" w:rsidP="00A33FD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33FD5">
        <w:rPr>
          <w:rFonts w:ascii="Times New Roman" w:eastAsia="Times New Roman" w:hAnsi="Times New Roman" w:cs="Times New Roman"/>
          <w:b/>
          <w:bCs/>
          <w:kern w:val="0"/>
          <w:sz w:val="36"/>
          <w:szCs w:val="36"/>
          <w14:ligatures w14:val="none"/>
        </w:rPr>
        <w:t>Entangled Quanta: The Moral Architecture of the West</w:t>
      </w:r>
    </w:p>
    <w:p w14:paraId="286A56BB"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In </w:t>
      </w:r>
      <w:r w:rsidRPr="00A33FD5">
        <w:rPr>
          <w:rFonts w:ascii="Times New Roman" w:eastAsia="Times New Roman" w:hAnsi="Times New Roman" w:cs="Times New Roman"/>
          <w:i/>
          <w:iCs/>
          <w:kern w:val="0"/>
          <w14:ligatures w14:val="none"/>
        </w:rPr>
        <w:t>Quanta of Faith</w:t>
      </w:r>
      <w:r w:rsidRPr="00A33FD5">
        <w:rPr>
          <w:rFonts w:ascii="Times New Roman" w:eastAsia="Times New Roman" w:hAnsi="Times New Roman" w:cs="Times New Roman"/>
          <w:kern w:val="0"/>
          <w14:ligatures w14:val="none"/>
        </w:rPr>
        <w:t>, I argued for a modest, empirically grounded case for faith:</w:t>
      </w:r>
    </w:p>
    <w:p w14:paraId="128E0E7E"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that humans are cognitively wired for belief,</w:t>
      </w:r>
      <w:r w:rsidRPr="00A33FD5">
        <w:rPr>
          <w:rFonts w:ascii="Times New Roman" w:eastAsia="Times New Roman" w:hAnsi="Times New Roman" w:cs="Times New Roman"/>
          <w:kern w:val="0"/>
          <w14:ligatures w14:val="none"/>
        </w:rPr>
        <w:br/>
        <w:t>that belief measurably enhances human flourishing, and</w:t>
      </w:r>
      <w:r w:rsidRPr="00A33FD5">
        <w:rPr>
          <w:rFonts w:ascii="Times New Roman" w:eastAsia="Times New Roman" w:hAnsi="Times New Roman" w:cs="Times New Roman"/>
          <w:kern w:val="0"/>
          <w14:ligatures w14:val="none"/>
        </w:rPr>
        <w:br/>
        <w:t>that science itself arose from the same teleological intuitions that undergird religion and historically fit best within a Christian metaphysics.</w:t>
      </w:r>
    </w:p>
    <w:p w14:paraId="6ECEA0FB"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Those three claims form a scientific and anthropological argument.</w:t>
      </w:r>
    </w:p>
    <w:p w14:paraId="0802B9A5"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But there is a second stream running alongside them — a moral</w:t>
      </w:r>
      <w:r w:rsidRPr="00A33FD5">
        <w:rPr>
          <w:rFonts w:ascii="Times New Roman" w:eastAsia="Times New Roman" w:hAnsi="Times New Roman" w:cs="Times New Roman"/>
          <w:kern w:val="0"/>
          <w14:ligatures w14:val="none"/>
        </w:rPr>
        <w:noBreakHyphen/>
        <w:t>historical argument — and it converges with the first in surprising ways.</w:t>
      </w:r>
    </w:p>
    <w:p w14:paraId="6B98972D"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This second stream begins with a simple observation:</w:t>
      </w:r>
    </w:p>
    <w:p w14:paraId="57EC87F1"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the moral values that make life and society worth belonging to — compassion, equality, dignity, human rights, care for the weak — are not universal human discoveries. They are historically contingent, and their source is overwhelmingly Christian.</w:t>
      </w:r>
    </w:p>
    <w:p w14:paraId="2828064A"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This is not a theological claim.</w:t>
      </w:r>
    </w:p>
    <w:p w14:paraId="22860147"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It is a historical one.</w:t>
      </w:r>
    </w:p>
    <w:p w14:paraId="34BFB219" w14:textId="28F29DBB"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And it is affirmed by thinkers across the spectrum: atheist, agnostic, and Christian.</w:t>
      </w:r>
    </w:p>
    <w:p w14:paraId="39203D87" w14:textId="77777777" w:rsidR="00A33FD5" w:rsidRPr="00A33FD5" w:rsidRDefault="00A33FD5" w:rsidP="00A33FD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33FD5">
        <w:rPr>
          <w:rFonts w:ascii="Times New Roman" w:eastAsia="Times New Roman" w:hAnsi="Times New Roman" w:cs="Times New Roman"/>
          <w:b/>
          <w:bCs/>
          <w:kern w:val="0"/>
          <w:sz w:val="36"/>
          <w:szCs w:val="36"/>
          <w14:ligatures w14:val="none"/>
        </w:rPr>
        <w:t>Nietzsche: The Reluctant Witness</w:t>
      </w:r>
    </w:p>
    <w:p w14:paraId="24E532B8"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Friedrich Nietzsche, the fiercest critic of Christianity in modern history, saw this most clearly. He argued that the Western moral imagination — our instinctive concern for the weak, the poor, </w:t>
      </w:r>
      <w:r w:rsidRPr="00A33FD5">
        <w:rPr>
          <w:rFonts w:ascii="Times New Roman" w:eastAsia="Times New Roman" w:hAnsi="Times New Roman" w:cs="Times New Roman"/>
          <w:kern w:val="0"/>
          <w14:ligatures w14:val="none"/>
        </w:rPr>
        <w:lastRenderedPageBreak/>
        <w:t>the oppressed, the stranger — is not natural, rational, or evolutionarily inevitable. It is the afterglow of Christianity.</w:t>
      </w:r>
    </w:p>
    <w:p w14:paraId="07D78C0C"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In </w:t>
      </w:r>
      <w:r w:rsidRPr="00A33FD5">
        <w:rPr>
          <w:rFonts w:ascii="Times New Roman" w:eastAsia="Times New Roman" w:hAnsi="Times New Roman" w:cs="Times New Roman"/>
          <w:i/>
          <w:iCs/>
          <w:kern w:val="0"/>
          <w14:ligatures w14:val="none"/>
        </w:rPr>
        <w:t>On the Genealogy of Morals</w:t>
      </w:r>
      <w:r w:rsidRPr="00A33FD5">
        <w:rPr>
          <w:rFonts w:ascii="Times New Roman" w:eastAsia="Times New Roman" w:hAnsi="Times New Roman" w:cs="Times New Roman"/>
          <w:kern w:val="0"/>
          <w14:ligatures w14:val="none"/>
        </w:rPr>
        <w:t>, he describes the Christian inversion of ancient values:</w:t>
      </w:r>
    </w:p>
    <w:p w14:paraId="73245B9C"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“The miserable alone are the good; the poor, the weak, the lowly are the only good people</w:t>
      </w:r>
      <w:proofErr w:type="gramStart"/>
      <w:r w:rsidRPr="00A33FD5">
        <w:rPr>
          <w:rFonts w:ascii="Times New Roman" w:eastAsia="Times New Roman" w:hAnsi="Times New Roman" w:cs="Times New Roman"/>
          <w:kern w:val="0"/>
          <w14:ligatures w14:val="none"/>
        </w:rPr>
        <w:t>.”¹</w:t>
      </w:r>
      <w:proofErr w:type="gramEnd"/>
    </w:p>
    <w:p w14:paraId="54DB52CD"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This was not praise. It was diagnosis.</w:t>
      </w:r>
    </w:p>
    <w:p w14:paraId="7D04684C"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Christianity had overturned the ancient world’s admiration of strength and honor and replaced it with a new valuation of humility, mercy, and sacrificial love.</w:t>
      </w:r>
    </w:p>
    <w:p w14:paraId="2D22260B" w14:textId="6D9BA9BD"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Nietzsche insisted that secular humanists were living on borrowed capital. They had rejected the Christian God but retained Christian ethics — a contradiction he found intellectually dishonest. “We remain strangers to ourselves,” he warned, unaware of how deeply Christian our moral instincts still </w:t>
      </w:r>
      <w:r w:rsidRPr="00A33FD5">
        <w:rPr>
          <w:rFonts w:ascii="Times New Roman" w:eastAsia="Times New Roman" w:hAnsi="Times New Roman" w:cs="Times New Roman"/>
          <w:kern w:val="0"/>
          <w14:ligatures w14:val="none"/>
        </w:rPr>
        <w:t>are. ²</w:t>
      </w:r>
    </w:p>
    <w:p w14:paraId="121A4658"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His conclusion was stark:</w:t>
      </w:r>
    </w:p>
    <w:p w14:paraId="15096959"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If God is dead, then the moral elevation of the weak collapses.</w:t>
      </w:r>
      <w:r w:rsidRPr="00A33FD5">
        <w:rPr>
          <w:rFonts w:ascii="Times New Roman" w:eastAsia="Times New Roman" w:hAnsi="Times New Roman" w:cs="Times New Roman"/>
          <w:kern w:val="0"/>
          <w14:ligatures w14:val="none"/>
        </w:rPr>
        <w:br/>
        <w:t>Compassion becomes weakness.</w:t>
      </w:r>
      <w:r w:rsidRPr="00A33FD5">
        <w:rPr>
          <w:rFonts w:ascii="Times New Roman" w:eastAsia="Times New Roman" w:hAnsi="Times New Roman" w:cs="Times New Roman"/>
          <w:kern w:val="0"/>
          <w14:ligatures w14:val="none"/>
        </w:rPr>
        <w:br/>
        <w:t>Equality becomes a fiction.</w:t>
      </w:r>
      <w:r w:rsidRPr="00A33FD5">
        <w:rPr>
          <w:rFonts w:ascii="Times New Roman" w:eastAsia="Times New Roman" w:hAnsi="Times New Roman" w:cs="Times New Roman"/>
          <w:kern w:val="0"/>
          <w14:ligatures w14:val="none"/>
        </w:rPr>
        <w:br/>
        <w:t>The only remaining ethic is strength.</w:t>
      </w:r>
    </w:p>
    <w:p w14:paraId="251B4AD5"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This is the part of Nietzsche I reject — the cruelty, the contempt, the anti</w:t>
      </w:r>
      <w:r w:rsidRPr="00A33FD5">
        <w:rPr>
          <w:rFonts w:ascii="Times New Roman" w:eastAsia="Times New Roman" w:hAnsi="Times New Roman" w:cs="Times New Roman"/>
          <w:kern w:val="0"/>
          <w14:ligatures w14:val="none"/>
        </w:rPr>
        <w:noBreakHyphen/>
        <w:t>compassion ethic.</w:t>
      </w:r>
    </w:p>
    <w:p w14:paraId="23129C81"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But I respect his honesty.</w:t>
      </w:r>
    </w:p>
    <w:p w14:paraId="6661097A" w14:textId="5D238E6A"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He refused to let unbelievers enjoy Christian morality while denying its source.</w:t>
      </w:r>
    </w:p>
    <w:p w14:paraId="33B572B3" w14:textId="77777777" w:rsidR="00A33FD5" w:rsidRPr="00A33FD5" w:rsidRDefault="00A33FD5" w:rsidP="00A33FD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33FD5">
        <w:rPr>
          <w:rFonts w:ascii="Times New Roman" w:eastAsia="Times New Roman" w:hAnsi="Times New Roman" w:cs="Times New Roman"/>
          <w:b/>
          <w:bCs/>
          <w:kern w:val="0"/>
          <w:sz w:val="36"/>
          <w:szCs w:val="36"/>
          <w14:ligatures w14:val="none"/>
        </w:rPr>
        <w:t>Bart Ehrman: The Agnostic Historian</w:t>
      </w:r>
    </w:p>
    <w:p w14:paraId="52FE0DA6" w14:textId="731D1B59"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Bart Ehrman approaches Christianity from the opposite direction — not as a philosopher but as a historian of antiquity, and not as a believer but as an agnostic atheist. His theological underpinnings are explicitly nontheistic; his method is strictly historical</w:t>
      </w:r>
      <w:r w:rsidRPr="00A33FD5">
        <w:rPr>
          <w:rFonts w:ascii="Times New Roman" w:eastAsia="Times New Roman" w:hAnsi="Times New Roman" w:cs="Times New Roman"/>
          <w:kern w:val="0"/>
          <w14:ligatures w14:val="none"/>
        </w:rPr>
        <w:noBreakHyphen/>
      </w:r>
      <w:r w:rsidRPr="00A33FD5">
        <w:rPr>
          <w:rFonts w:ascii="Times New Roman" w:eastAsia="Times New Roman" w:hAnsi="Times New Roman" w:cs="Times New Roman"/>
          <w:kern w:val="0"/>
          <w14:ligatures w14:val="none"/>
        </w:rPr>
        <w:t>critical. ³</w:t>
      </w:r>
    </w:p>
    <w:p w14:paraId="775E8439" w14:textId="49C6C593"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Yet Ehrman has increasingly emphasized the moral distinctiveness of Jesus’ teachings. In </w:t>
      </w:r>
      <w:r w:rsidRPr="00A33FD5">
        <w:rPr>
          <w:rFonts w:ascii="Times New Roman" w:eastAsia="Times New Roman" w:hAnsi="Times New Roman" w:cs="Times New Roman"/>
          <w:i/>
          <w:iCs/>
          <w:kern w:val="0"/>
          <w14:ligatures w14:val="none"/>
        </w:rPr>
        <w:t>Love Thy Neighbor</w:t>
      </w:r>
      <w:r w:rsidRPr="00A33FD5">
        <w:rPr>
          <w:rFonts w:ascii="Times New Roman" w:eastAsia="Times New Roman" w:hAnsi="Times New Roman" w:cs="Times New Roman"/>
          <w:kern w:val="0"/>
          <w14:ligatures w14:val="none"/>
        </w:rPr>
        <w:t>, he argues that Jesus universalized the Jewish ethic of neighbor</w:t>
      </w:r>
      <w:r w:rsidRPr="00A33FD5">
        <w:rPr>
          <w:rFonts w:ascii="Times New Roman" w:eastAsia="Times New Roman" w:hAnsi="Times New Roman" w:cs="Times New Roman"/>
          <w:kern w:val="0"/>
          <w14:ligatures w14:val="none"/>
        </w:rPr>
        <w:noBreakHyphen/>
        <w:t>love in a way that had no precedent in Greco</w:t>
      </w:r>
      <w:r w:rsidRPr="00A33FD5">
        <w:rPr>
          <w:rFonts w:ascii="Times New Roman" w:eastAsia="Times New Roman" w:hAnsi="Times New Roman" w:cs="Times New Roman"/>
          <w:kern w:val="0"/>
          <w14:ligatures w14:val="none"/>
        </w:rPr>
        <w:noBreakHyphen/>
        <w:t xml:space="preserve">Roman moral </w:t>
      </w:r>
      <w:r w:rsidRPr="00A33FD5">
        <w:rPr>
          <w:rFonts w:ascii="Times New Roman" w:eastAsia="Times New Roman" w:hAnsi="Times New Roman" w:cs="Times New Roman"/>
          <w:kern w:val="0"/>
          <w14:ligatures w14:val="none"/>
        </w:rPr>
        <w:t>philosophy. ⁴</w:t>
      </w:r>
    </w:p>
    <w:p w14:paraId="000386A2"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In the interview you provided, Ehrman summarizes the thesis succinctly:</w:t>
      </w:r>
    </w:p>
    <w:p w14:paraId="22509526"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“We… feel like we ought to do something [for strangers in </w:t>
      </w:r>
      <w:proofErr w:type="gramStart"/>
      <w:r w:rsidRPr="00A33FD5">
        <w:rPr>
          <w:rFonts w:ascii="Times New Roman" w:eastAsia="Times New Roman" w:hAnsi="Times New Roman" w:cs="Times New Roman"/>
          <w:kern w:val="0"/>
          <w14:ligatures w14:val="none"/>
        </w:rPr>
        <w:t>need]…</w:t>
      </w:r>
      <w:proofErr w:type="gramEnd"/>
      <w:r w:rsidRPr="00A33FD5">
        <w:rPr>
          <w:rFonts w:ascii="Times New Roman" w:eastAsia="Times New Roman" w:hAnsi="Times New Roman" w:cs="Times New Roman"/>
          <w:kern w:val="0"/>
          <w14:ligatures w14:val="none"/>
        </w:rPr>
        <w:t xml:space="preserve"> My argument is that sense… ultimately derives from the teachings of Jesus</w:t>
      </w:r>
      <w:proofErr w:type="gramStart"/>
      <w:r w:rsidRPr="00A33FD5">
        <w:rPr>
          <w:rFonts w:ascii="Times New Roman" w:eastAsia="Times New Roman" w:hAnsi="Times New Roman" w:cs="Times New Roman"/>
          <w:kern w:val="0"/>
          <w14:ligatures w14:val="none"/>
        </w:rPr>
        <w:t>.”⁵</w:t>
      </w:r>
      <w:proofErr w:type="gramEnd"/>
    </w:p>
    <w:p w14:paraId="0876914D"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lastRenderedPageBreak/>
        <w:t>Ehrman traces the institutional consequences of this ethic:</w:t>
      </w:r>
    </w:p>
    <w:p w14:paraId="47B0E4A4"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public hospitals</w:t>
      </w:r>
      <w:r w:rsidRPr="00A33FD5">
        <w:rPr>
          <w:rFonts w:ascii="Times New Roman" w:eastAsia="Times New Roman" w:hAnsi="Times New Roman" w:cs="Times New Roman"/>
          <w:kern w:val="0"/>
          <w14:ligatures w14:val="none"/>
        </w:rPr>
        <w:br/>
        <w:t>orphanages</w:t>
      </w:r>
      <w:r w:rsidRPr="00A33FD5">
        <w:rPr>
          <w:rFonts w:ascii="Times New Roman" w:eastAsia="Times New Roman" w:hAnsi="Times New Roman" w:cs="Times New Roman"/>
          <w:kern w:val="0"/>
          <w14:ligatures w14:val="none"/>
        </w:rPr>
        <w:br/>
        <w:t>poor relief</w:t>
      </w:r>
      <w:r w:rsidRPr="00A33FD5">
        <w:rPr>
          <w:rFonts w:ascii="Times New Roman" w:eastAsia="Times New Roman" w:hAnsi="Times New Roman" w:cs="Times New Roman"/>
          <w:kern w:val="0"/>
          <w14:ligatures w14:val="none"/>
        </w:rPr>
        <w:br/>
        <w:t>charitable associations</w:t>
      </w:r>
      <w:r w:rsidRPr="00A33FD5">
        <w:rPr>
          <w:rFonts w:ascii="Times New Roman" w:eastAsia="Times New Roman" w:hAnsi="Times New Roman" w:cs="Times New Roman"/>
          <w:kern w:val="0"/>
          <w14:ligatures w14:val="none"/>
        </w:rPr>
        <w:br/>
        <w:t>care for widows, the elderly, and the destitute</w:t>
      </w:r>
    </w:p>
    <w:p w14:paraId="68404978"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These, he argues, were not Greco</w:t>
      </w:r>
      <w:r w:rsidRPr="00A33FD5">
        <w:rPr>
          <w:rFonts w:ascii="Times New Roman" w:eastAsia="Times New Roman" w:hAnsi="Times New Roman" w:cs="Times New Roman"/>
          <w:kern w:val="0"/>
          <w14:ligatures w14:val="none"/>
        </w:rPr>
        <w:noBreakHyphen/>
        <w:t xml:space="preserve">Roman innovations but Christian </w:t>
      </w:r>
      <w:proofErr w:type="gramStart"/>
      <w:r w:rsidRPr="00A33FD5">
        <w:rPr>
          <w:rFonts w:ascii="Times New Roman" w:eastAsia="Times New Roman" w:hAnsi="Times New Roman" w:cs="Times New Roman"/>
          <w:kern w:val="0"/>
          <w14:ligatures w14:val="none"/>
        </w:rPr>
        <w:t>ones.⁶</w:t>
      </w:r>
      <w:proofErr w:type="gramEnd"/>
    </w:p>
    <w:p w14:paraId="054F79AF"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Ehrman’s conclusion is not theological.</w:t>
      </w:r>
    </w:p>
    <w:p w14:paraId="54FBD011"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He does not claim that Jesus was divine.</w:t>
      </w:r>
    </w:p>
    <w:p w14:paraId="5B69FD6E"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He simply observes that the Western moral conscience is unintelligible without Jesus.</w:t>
      </w:r>
    </w:p>
    <w:p w14:paraId="1CDE9D31" w14:textId="03BA1E1B"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This is precisely the point Nietzsche made — though Nietzsche lamented it, while Ehrman simply documents it.</w:t>
      </w:r>
    </w:p>
    <w:p w14:paraId="23412DC1" w14:textId="77777777" w:rsidR="00A33FD5" w:rsidRPr="00A33FD5" w:rsidRDefault="00A33FD5" w:rsidP="00A33FD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33FD5">
        <w:rPr>
          <w:rFonts w:ascii="Times New Roman" w:eastAsia="Times New Roman" w:hAnsi="Times New Roman" w:cs="Times New Roman"/>
          <w:b/>
          <w:bCs/>
          <w:kern w:val="0"/>
          <w:sz w:val="36"/>
          <w:szCs w:val="36"/>
          <w14:ligatures w14:val="none"/>
        </w:rPr>
        <w:t>Tom Holland: The Cultural Historian</w:t>
      </w:r>
    </w:p>
    <w:p w14:paraId="16850D7F" w14:textId="01EE0163"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Tom Holland, in </w:t>
      </w:r>
      <w:r w:rsidRPr="00A33FD5">
        <w:rPr>
          <w:rFonts w:ascii="Times New Roman" w:eastAsia="Times New Roman" w:hAnsi="Times New Roman" w:cs="Times New Roman"/>
          <w:i/>
          <w:iCs/>
          <w:kern w:val="0"/>
          <w14:ligatures w14:val="none"/>
        </w:rPr>
        <w:t>Dominion</w:t>
      </w:r>
      <w:r w:rsidRPr="00A33FD5">
        <w:rPr>
          <w:rFonts w:ascii="Times New Roman" w:eastAsia="Times New Roman" w:hAnsi="Times New Roman" w:cs="Times New Roman"/>
          <w:kern w:val="0"/>
          <w14:ligatures w14:val="none"/>
        </w:rPr>
        <w:t xml:space="preserve">, makes the same argument on a civilizational scale. He does not identify as a traditional Christian, but he acknowledges that his moral instincts are “unquestionably Christian,” shaped by the story of the crucified </w:t>
      </w:r>
      <w:r w:rsidRPr="00A33FD5">
        <w:rPr>
          <w:rFonts w:ascii="Times New Roman" w:eastAsia="Times New Roman" w:hAnsi="Times New Roman" w:cs="Times New Roman"/>
          <w:kern w:val="0"/>
          <w14:ligatures w14:val="none"/>
        </w:rPr>
        <w:t>God. ⁷</w:t>
      </w:r>
    </w:p>
    <w:p w14:paraId="09638673"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Holland argues that Christianity did not merely influence Western morality — it created it.</w:t>
      </w:r>
    </w:p>
    <w:p w14:paraId="4A299DED"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The very concepts of:</w:t>
      </w:r>
    </w:p>
    <w:p w14:paraId="399C771F"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human rights</w:t>
      </w:r>
      <w:r w:rsidRPr="00A33FD5">
        <w:rPr>
          <w:rFonts w:ascii="Times New Roman" w:eastAsia="Times New Roman" w:hAnsi="Times New Roman" w:cs="Times New Roman"/>
          <w:kern w:val="0"/>
          <w14:ligatures w14:val="none"/>
        </w:rPr>
        <w:br/>
        <w:t>equality</w:t>
      </w:r>
      <w:r w:rsidRPr="00A33FD5">
        <w:rPr>
          <w:rFonts w:ascii="Times New Roman" w:eastAsia="Times New Roman" w:hAnsi="Times New Roman" w:cs="Times New Roman"/>
          <w:kern w:val="0"/>
          <w14:ligatures w14:val="none"/>
        </w:rPr>
        <w:br/>
        <w:t>the dignity of the individual</w:t>
      </w:r>
      <w:r w:rsidRPr="00A33FD5">
        <w:rPr>
          <w:rFonts w:ascii="Times New Roman" w:eastAsia="Times New Roman" w:hAnsi="Times New Roman" w:cs="Times New Roman"/>
          <w:kern w:val="0"/>
          <w14:ligatures w14:val="none"/>
        </w:rPr>
        <w:br/>
        <w:t>the moral priority of the victim</w:t>
      </w:r>
    </w:p>
    <w:p w14:paraId="4292BAED" w14:textId="38A097D4"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are, he argues, Christian </w:t>
      </w:r>
      <w:r w:rsidRPr="00A33FD5">
        <w:rPr>
          <w:rFonts w:ascii="Times New Roman" w:eastAsia="Times New Roman" w:hAnsi="Times New Roman" w:cs="Times New Roman"/>
          <w:kern w:val="0"/>
          <w14:ligatures w14:val="none"/>
        </w:rPr>
        <w:t>inventions. ⁸</w:t>
      </w:r>
    </w:p>
    <w:p w14:paraId="1219E7B3" w14:textId="718BCCE2"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Even the secular movements that explicitly reject Christianity — the Enlightenment, liberal democracy, socialism, human rights discourse — are built on Christian moral </w:t>
      </w:r>
      <w:r w:rsidRPr="00A33FD5">
        <w:rPr>
          <w:rFonts w:ascii="Times New Roman" w:eastAsia="Times New Roman" w:hAnsi="Times New Roman" w:cs="Times New Roman"/>
          <w:kern w:val="0"/>
          <w14:ligatures w14:val="none"/>
        </w:rPr>
        <w:t>foundations. ⁹</w:t>
      </w:r>
    </w:p>
    <w:p w14:paraId="06DA6A17"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His conclusion is theological in implication, though not in profession:</w:t>
      </w:r>
    </w:p>
    <w:p w14:paraId="0424A058"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The West’s deepest moral commitments make sense only within a Christian metaphysics.</w:t>
      </w:r>
    </w:p>
    <w:p w14:paraId="73EE370B" w14:textId="78EA179C"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Again, this is Nietzsche’s point — but where Nietzsche saw decadence, Holland sees moral revolution.</w:t>
      </w:r>
    </w:p>
    <w:p w14:paraId="14C2967D" w14:textId="77777777" w:rsidR="00A33FD5" w:rsidRPr="00A33FD5" w:rsidRDefault="00A33FD5" w:rsidP="00A33FD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33FD5">
        <w:rPr>
          <w:rFonts w:ascii="Times New Roman" w:eastAsia="Times New Roman" w:hAnsi="Times New Roman" w:cs="Times New Roman"/>
          <w:b/>
          <w:bCs/>
          <w:kern w:val="0"/>
          <w:sz w:val="36"/>
          <w:szCs w:val="36"/>
          <w14:ligatures w14:val="none"/>
        </w:rPr>
        <w:lastRenderedPageBreak/>
        <w:t>Charles Taylor: The Fragility of Secular Morality</w:t>
      </w:r>
    </w:p>
    <w:p w14:paraId="0813E5B2"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Charles Taylor, in </w:t>
      </w:r>
      <w:r w:rsidRPr="00A33FD5">
        <w:rPr>
          <w:rFonts w:ascii="Times New Roman" w:eastAsia="Times New Roman" w:hAnsi="Times New Roman" w:cs="Times New Roman"/>
          <w:i/>
          <w:iCs/>
          <w:kern w:val="0"/>
          <w14:ligatures w14:val="none"/>
        </w:rPr>
        <w:t>Sources of the Self</w:t>
      </w:r>
      <w:r w:rsidRPr="00A33FD5">
        <w:rPr>
          <w:rFonts w:ascii="Times New Roman" w:eastAsia="Times New Roman" w:hAnsi="Times New Roman" w:cs="Times New Roman"/>
          <w:kern w:val="0"/>
          <w14:ligatures w14:val="none"/>
        </w:rPr>
        <w:t xml:space="preserve"> and </w:t>
      </w:r>
      <w:r w:rsidRPr="00A33FD5">
        <w:rPr>
          <w:rFonts w:ascii="Times New Roman" w:eastAsia="Times New Roman" w:hAnsi="Times New Roman" w:cs="Times New Roman"/>
          <w:i/>
          <w:iCs/>
          <w:kern w:val="0"/>
          <w14:ligatures w14:val="none"/>
        </w:rPr>
        <w:t>A Secular Age</w:t>
      </w:r>
      <w:r w:rsidRPr="00A33FD5">
        <w:rPr>
          <w:rFonts w:ascii="Times New Roman" w:eastAsia="Times New Roman" w:hAnsi="Times New Roman" w:cs="Times New Roman"/>
          <w:kern w:val="0"/>
          <w14:ligatures w14:val="none"/>
        </w:rPr>
        <w:t>, raises the question Nietzsche feared and Ehrman avoids:</w:t>
      </w:r>
    </w:p>
    <w:p w14:paraId="7E5F9E8C"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Can the moral architecture of the West survive if its theological foundations erode?</w:t>
      </w:r>
    </w:p>
    <w:p w14:paraId="35526C9A"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Taylor doubts it.</w:t>
      </w:r>
    </w:p>
    <w:p w14:paraId="361D20A5"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He argues that the modern moral order — our belief in universal dignity, rights, and compassion — is a “fragile inheritance,” dependent on a transcendent moral </w:t>
      </w:r>
      <w:proofErr w:type="gramStart"/>
      <w:r w:rsidRPr="00A33FD5">
        <w:rPr>
          <w:rFonts w:ascii="Times New Roman" w:eastAsia="Times New Roman" w:hAnsi="Times New Roman" w:cs="Times New Roman"/>
          <w:kern w:val="0"/>
          <w14:ligatures w14:val="none"/>
        </w:rPr>
        <w:t>source.¹</w:t>
      </w:r>
      <w:proofErr w:type="gramEnd"/>
      <w:r w:rsidRPr="00A33FD5">
        <w:rPr>
          <w:rFonts w:ascii="Times New Roman" w:eastAsia="Times New Roman" w:hAnsi="Times New Roman" w:cs="Times New Roman"/>
          <w:kern w:val="0"/>
          <w14:ligatures w14:val="none"/>
        </w:rPr>
        <w:t>⁰</w:t>
      </w:r>
    </w:p>
    <w:p w14:paraId="167A2579"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Atheist critic George Scialabba, reviewing Taylor, summarizes the problem with disarming honesty:</w:t>
      </w:r>
    </w:p>
    <w:p w14:paraId="66FC4A07"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“Perseverance in virtue will sometimes require self</w:t>
      </w:r>
      <w:r w:rsidRPr="00A33FD5">
        <w:rPr>
          <w:rFonts w:ascii="Times New Roman" w:eastAsia="Times New Roman" w:hAnsi="Times New Roman" w:cs="Times New Roman"/>
          <w:kern w:val="0"/>
          <w14:ligatures w14:val="none"/>
        </w:rPr>
        <w:noBreakHyphen/>
        <w:t>sacrifice. And self</w:t>
      </w:r>
      <w:r w:rsidRPr="00A33FD5">
        <w:rPr>
          <w:rFonts w:ascii="Times New Roman" w:eastAsia="Times New Roman" w:hAnsi="Times New Roman" w:cs="Times New Roman"/>
          <w:kern w:val="0"/>
          <w14:ligatures w14:val="none"/>
        </w:rPr>
        <w:noBreakHyphen/>
        <w:t>sacrifice seems to require some transcendental justification… Can we be good for long without God</w:t>
      </w:r>
      <w:proofErr w:type="gramStart"/>
      <w:r w:rsidRPr="00A33FD5">
        <w:rPr>
          <w:rFonts w:ascii="Times New Roman" w:eastAsia="Times New Roman" w:hAnsi="Times New Roman" w:cs="Times New Roman"/>
          <w:kern w:val="0"/>
          <w14:ligatures w14:val="none"/>
        </w:rPr>
        <w:t>?”¹</w:t>
      </w:r>
      <w:proofErr w:type="gramEnd"/>
      <w:r w:rsidRPr="00A33FD5">
        <w:rPr>
          <w:rFonts w:ascii="Times New Roman" w:eastAsia="Times New Roman" w:hAnsi="Times New Roman" w:cs="Times New Roman"/>
          <w:kern w:val="0"/>
          <w14:ligatures w14:val="none"/>
        </w:rPr>
        <w:t>¹</w:t>
      </w:r>
    </w:p>
    <w:p w14:paraId="77B0DBC9"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He concludes with a confession that is as haunting as it is humble:</w:t>
      </w:r>
    </w:p>
    <w:p w14:paraId="56ECA7C7"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“The ideals I most prize are at bottom inadequate… I see no alternative to living with this suspicion, perhaps permanently</w:t>
      </w:r>
      <w:proofErr w:type="gramStart"/>
      <w:r w:rsidRPr="00A33FD5">
        <w:rPr>
          <w:rFonts w:ascii="Times New Roman" w:eastAsia="Times New Roman" w:hAnsi="Times New Roman" w:cs="Times New Roman"/>
          <w:kern w:val="0"/>
          <w14:ligatures w14:val="none"/>
        </w:rPr>
        <w:t>.”¹</w:t>
      </w:r>
      <w:proofErr w:type="gramEnd"/>
      <w:r w:rsidRPr="00A33FD5">
        <w:rPr>
          <w:rFonts w:ascii="Times New Roman" w:eastAsia="Times New Roman" w:hAnsi="Times New Roman" w:cs="Times New Roman"/>
          <w:kern w:val="0"/>
          <w14:ligatures w14:val="none"/>
        </w:rPr>
        <w:t>²</w:t>
      </w:r>
    </w:p>
    <w:p w14:paraId="4FED5D93"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This is the secular version of </w:t>
      </w:r>
      <w:proofErr w:type="spellStart"/>
      <w:r w:rsidRPr="00A33FD5">
        <w:rPr>
          <w:rFonts w:ascii="Times New Roman" w:eastAsia="Times New Roman" w:hAnsi="Times New Roman" w:cs="Times New Roman"/>
          <w:kern w:val="0"/>
          <w14:ligatures w14:val="none"/>
        </w:rPr>
        <w:t>Puddleglum’s</w:t>
      </w:r>
      <w:proofErr w:type="spellEnd"/>
      <w:r w:rsidRPr="00A33FD5">
        <w:rPr>
          <w:rFonts w:ascii="Times New Roman" w:eastAsia="Times New Roman" w:hAnsi="Times New Roman" w:cs="Times New Roman"/>
          <w:kern w:val="0"/>
          <w14:ligatures w14:val="none"/>
        </w:rPr>
        <w:t xml:space="preserve"> dilemma:</w:t>
      </w:r>
    </w:p>
    <w:p w14:paraId="0887A32B" w14:textId="2338E4C3"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the suspicion that the reductionistic account of reality is too small for the human soul.</w:t>
      </w:r>
    </w:p>
    <w:p w14:paraId="568B70B3" w14:textId="77777777" w:rsidR="00A33FD5" w:rsidRPr="00A33FD5" w:rsidRDefault="00A33FD5" w:rsidP="00A33FD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33FD5">
        <w:rPr>
          <w:rFonts w:ascii="Times New Roman" w:eastAsia="Times New Roman" w:hAnsi="Times New Roman" w:cs="Times New Roman"/>
          <w:b/>
          <w:bCs/>
          <w:kern w:val="0"/>
          <w:sz w:val="36"/>
          <w:szCs w:val="36"/>
          <w14:ligatures w14:val="none"/>
        </w:rPr>
        <w:t>The Overlapping Conclusion</w:t>
      </w:r>
    </w:p>
    <w:p w14:paraId="3E6F7931"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What is remarkable is that Nietzsche (atheist), Ehrman (agnostic), Holland (culturally Christian), and Taylor (Catholic philosopher) — representing the full spectrum of belief — converge on a single historical claim:</w:t>
      </w:r>
    </w:p>
    <w:p w14:paraId="5589116F"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b/>
          <w:bCs/>
          <w:kern w:val="0"/>
          <w14:ligatures w14:val="none"/>
        </w:rPr>
        <w:t>The moral world we inhabit is the product of Christianity, and it is not clear that it can endure without it.</w:t>
      </w:r>
    </w:p>
    <w:p w14:paraId="066EB7DA"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This convergence is powerful precisely because it is independent of theology.</w:t>
      </w:r>
    </w:p>
    <w:p w14:paraId="608FE895"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It is a historical fact before it is a theological argument.</w:t>
      </w:r>
    </w:p>
    <w:p w14:paraId="0BDA736D"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And it entangles with my original three claims:</w:t>
      </w:r>
    </w:p>
    <w:p w14:paraId="568AC129"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lastRenderedPageBreak/>
        <w:t>humans are wired for belief,</w:t>
      </w:r>
      <w:r w:rsidRPr="00A33FD5">
        <w:rPr>
          <w:rFonts w:ascii="Times New Roman" w:eastAsia="Times New Roman" w:hAnsi="Times New Roman" w:cs="Times New Roman"/>
          <w:kern w:val="0"/>
          <w14:ligatures w14:val="none"/>
        </w:rPr>
        <w:br/>
        <w:t>belief enhances flourishing,</w:t>
      </w:r>
      <w:r w:rsidRPr="00A33FD5">
        <w:rPr>
          <w:rFonts w:ascii="Times New Roman" w:eastAsia="Times New Roman" w:hAnsi="Times New Roman" w:cs="Times New Roman"/>
          <w:kern w:val="0"/>
          <w14:ligatures w14:val="none"/>
        </w:rPr>
        <w:br/>
        <w:t>and the scientific worldview itself emerged from Christian metaphysics.</w:t>
      </w:r>
    </w:p>
    <w:p w14:paraId="24213450"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The moral argument and the cognitive argument reinforce each other.</w:t>
      </w:r>
    </w:p>
    <w:p w14:paraId="28E0A28D"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Both point to the same conclusion:</w:t>
      </w:r>
    </w:p>
    <w:p w14:paraId="4E3868C7" w14:textId="2D5685B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T</w:t>
      </w:r>
      <w:r w:rsidRPr="00A33FD5">
        <w:rPr>
          <w:rFonts w:ascii="Times New Roman" w:eastAsia="Times New Roman" w:hAnsi="Times New Roman" w:cs="Times New Roman"/>
          <w:b/>
          <w:bCs/>
          <w:kern w:val="0"/>
          <w14:ligatures w14:val="none"/>
        </w:rPr>
        <w:t>he Christian vision of reality is the most coherent, life</w:t>
      </w:r>
      <w:r w:rsidRPr="00A33FD5">
        <w:rPr>
          <w:rFonts w:ascii="Times New Roman" w:eastAsia="Times New Roman" w:hAnsi="Times New Roman" w:cs="Times New Roman"/>
          <w:b/>
          <w:bCs/>
          <w:kern w:val="0"/>
          <w14:ligatures w14:val="none"/>
        </w:rPr>
        <w:noBreakHyphen/>
        <w:t>giving, and humanizing way of being in the world.</w:t>
      </w:r>
    </w:p>
    <w:p w14:paraId="65188836" w14:textId="77777777" w:rsidR="00A33FD5" w:rsidRPr="00A33FD5" w:rsidRDefault="00A33FD5" w:rsidP="00A33FD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33FD5">
        <w:rPr>
          <w:rFonts w:ascii="Times New Roman" w:eastAsia="Times New Roman" w:hAnsi="Times New Roman" w:cs="Times New Roman"/>
          <w:b/>
          <w:bCs/>
          <w:kern w:val="0"/>
          <w:sz w:val="36"/>
          <w:szCs w:val="36"/>
          <w14:ligatures w14:val="none"/>
        </w:rPr>
        <w:t>Chris Wolf: A Street</w:t>
      </w:r>
      <w:r w:rsidRPr="00A33FD5">
        <w:rPr>
          <w:rFonts w:ascii="Times New Roman" w:eastAsia="Times New Roman" w:hAnsi="Times New Roman" w:cs="Times New Roman"/>
          <w:b/>
          <w:bCs/>
          <w:kern w:val="0"/>
          <w:sz w:val="36"/>
          <w:szCs w:val="36"/>
          <w14:ligatures w14:val="none"/>
        </w:rPr>
        <w:noBreakHyphen/>
        <w:t>Corner Parable</w:t>
      </w:r>
    </w:p>
    <w:p w14:paraId="792E6B5C" w14:textId="40D10A40"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And then there is Chris Wolf.</w:t>
      </w:r>
      <w:r>
        <w:rPr>
          <w:rFonts w:ascii="Times New Roman" w:eastAsia="Times New Roman" w:hAnsi="Times New Roman" w:cs="Times New Roman"/>
          <w:kern w:val="0"/>
          <w14:ligatures w14:val="none"/>
        </w:rPr>
        <w:t xml:space="preserve"> He was my introduction to Nietzsche, a homeless philosopher himself and a self-styled disciple of Nietzsche.</w:t>
      </w:r>
    </w:p>
    <w:p w14:paraId="04D9B045" w14:textId="775EBA3C"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A homeless thief.</w:t>
      </w:r>
      <w:r w:rsidRPr="00A33FD5">
        <w:rPr>
          <w:rFonts w:ascii="Times New Roman" w:eastAsia="Times New Roman" w:hAnsi="Times New Roman" w:cs="Times New Roman"/>
          <w:kern w:val="0"/>
          <w14:ligatures w14:val="none"/>
        </w:rPr>
        <w:br/>
      </w:r>
      <w:r>
        <w:rPr>
          <w:rFonts w:ascii="Times New Roman" w:eastAsia="Times New Roman" w:hAnsi="Times New Roman" w:cs="Times New Roman"/>
          <w:kern w:val="0"/>
          <w14:ligatures w14:val="none"/>
        </w:rPr>
        <w:t>He named himself “Wolf” after his dog.</w:t>
      </w:r>
      <w:r w:rsidRPr="00A33FD5">
        <w:rPr>
          <w:rFonts w:ascii="Times New Roman" w:eastAsia="Times New Roman" w:hAnsi="Times New Roman" w:cs="Times New Roman"/>
          <w:kern w:val="0"/>
          <w14:ligatures w14:val="none"/>
        </w:rPr>
        <w:br/>
        <w:t>A man who lived by taking from others — except me.</w:t>
      </w:r>
    </w:p>
    <w:p w14:paraId="2E4C06AF"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When I asked him why he never robbed me, he shrugged and said he was pretty sure God didn’t exist — “but just in case He does,” he added, “I figure </w:t>
      </w:r>
      <w:proofErr w:type="gramStart"/>
      <w:r w:rsidRPr="00A33FD5">
        <w:rPr>
          <w:rFonts w:ascii="Times New Roman" w:eastAsia="Times New Roman" w:hAnsi="Times New Roman" w:cs="Times New Roman"/>
          <w:kern w:val="0"/>
          <w14:ligatures w14:val="none"/>
        </w:rPr>
        <w:t>you’re</w:t>
      </w:r>
      <w:proofErr w:type="gramEnd"/>
      <w:r w:rsidRPr="00A33FD5">
        <w:rPr>
          <w:rFonts w:ascii="Times New Roman" w:eastAsia="Times New Roman" w:hAnsi="Times New Roman" w:cs="Times New Roman"/>
          <w:kern w:val="0"/>
          <w14:ligatures w14:val="none"/>
        </w:rPr>
        <w:t xml:space="preserve"> friends with Him. And God would come down pretty hard on someone who messed with His friends. There are plenty of others I can rob.”</w:t>
      </w:r>
    </w:p>
    <w:p w14:paraId="35A92338"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It was a street</w:t>
      </w:r>
      <w:r w:rsidRPr="00A33FD5">
        <w:rPr>
          <w:rFonts w:ascii="Times New Roman" w:eastAsia="Times New Roman" w:hAnsi="Times New Roman" w:cs="Times New Roman"/>
          <w:kern w:val="0"/>
          <w14:ligatures w14:val="none"/>
        </w:rPr>
        <w:noBreakHyphen/>
        <w:t>corner version of the Nietzsche–Ehrman–Holland–Taylor thesis.</w:t>
      </w:r>
    </w:p>
    <w:p w14:paraId="34B8E54D"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Chris Wolf did not believe in God, but he believed in guilt.</w:t>
      </w:r>
      <w:r w:rsidRPr="00A33FD5">
        <w:rPr>
          <w:rFonts w:ascii="Times New Roman" w:eastAsia="Times New Roman" w:hAnsi="Times New Roman" w:cs="Times New Roman"/>
          <w:kern w:val="0"/>
          <w14:ligatures w14:val="none"/>
        </w:rPr>
        <w:br/>
        <w:t>He believed in moral consequence.</w:t>
      </w:r>
      <w:r w:rsidRPr="00A33FD5">
        <w:rPr>
          <w:rFonts w:ascii="Times New Roman" w:eastAsia="Times New Roman" w:hAnsi="Times New Roman" w:cs="Times New Roman"/>
          <w:kern w:val="0"/>
          <w14:ligatures w14:val="none"/>
        </w:rPr>
        <w:br/>
        <w:t>He believed in the special dignity of certain people.</w:t>
      </w:r>
      <w:r w:rsidRPr="00A33FD5">
        <w:rPr>
          <w:rFonts w:ascii="Times New Roman" w:eastAsia="Times New Roman" w:hAnsi="Times New Roman" w:cs="Times New Roman"/>
          <w:kern w:val="0"/>
          <w14:ligatures w14:val="none"/>
        </w:rPr>
        <w:br/>
        <w:t>He believed that harming the innocent was cosmically dangerous.</w:t>
      </w:r>
    </w:p>
    <w:p w14:paraId="3441792A"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He lived inside a Christian moral universe even while denying its center.</w:t>
      </w:r>
    </w:p>
    <w:p w14:paraId="4ED210F4"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Nietzsche would have recognized him instantly.</w:t>
      </w:r>
      <w:r w:rsidRPr="00A33FD5">
        <w:rPr>
          <w:rFonts w:ascii="Times New Roman" w:eastAsia="Times New Roman" w:hAnsi="Times New Roman" w:cs="Times New Roman"/>
          <w:kern w:val="0"/>
          <w14:ligatures w14:val="none"/>
        </w:rPr>
        <w:br/>
        <w:t>Ehrman could have footnoted him.</w:t>
      </w:r>
      <w:r w:rsidRPr="00A33FD5">
        <w:rPr>
          <w:rFonts w:ascii="Times New Roman" w:eastAsia="Times New Roman" w:hAnsi="Times New Roman" w:cs="Times New Roman"/>
          <w:kern w:val="0"/>
          <w14:ligatures w14:val="none"/>
        </w:rPr>
        <w:br/>
        <w:t xml:space="preserve">Holland could have made him an anecdote in </w:t>
      </w:r>
      <w:r w:rsidRPr="00A33FD5">
        <w:rPr>
          <w:rFonts w:ascii="Times New Roman" w:eastAsia="Times New Roman" w:hAnsi="Times New Roman" w:cs="Times New Roman"/>
          <w:i/>
          <w:iCs/>
          <w:kern w:val="0"/>
          <w14:ligatures w14:val="none"/>
        </w:rPr>
        <w:t>Dominion</w:t>
      </w:r>
      <w:r w:rsidRPr="00A33FD5">
        <w:rPr>
          <w:rFonts w:ascii="Times New Roman" w:eastAsia="Times New Roman" w:hAnsi="Times New Roman" w:cs="Times New Roman"/>
          <w:kern w:val="0"/>
          <w14:ligatures w14:val="none"/>
        </w:rPr>
        <w:t>.</w:t>
      </w:r>
      <w:r w:rsidRPr="00A33FD5">
        <w:rPr>
          <w:rFonts w:ascii="Times New Roman" w:eastAsia="Times New Roman" w:hAnsi="Times New Roman" w:cs="Times New Roman"/>
          <w:kern w:val="0"/>
          <w14:ligatures w14:val="none"/>
        </w:rPr>
        <w:br/>
        <w:t>Taylor would have seen him as evidence of a moral inheritance still lingering in the margins.</w:t>
      </w:r>
    </w:p>
    <w:p w14:paraId="6BE15287"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And for </w:t>
      </w:r>
      <w:r w:rsidRPr="00A33FD5">
        <w:rPr>
          <w:rFonts w:ascii="Times New Roman" w:eastAsia="Times New Roman" w:hAnsi="Times New Roman" w:cs="Times New Roman"/>
          <w:i/>
          <w:iCs/>
          <w:kern w:val="0"/>
          <w14:ligatures w14:val="none"/>
        </w:rPr>
        <w:t>Quanta of Faith</w:t>
      </w:r>
      <w:r w:rsidRPr="00A33FD5">
        <w:rPr>
          <w:rFonts w:ascii="Times New Roman" w:eastAsia="Times New Roman" w:hAnsi="Times New Roman" w:cs="Times New Roman"/>
          <w:kern w:val="0"/>
          <w14:ligatures w14:val="none"/>
        </w:rPr>
        <w:t>, he becomes something else:</w:t>
      </w:r>
    </w:p>
    <w:p w14:paraId="20E80D6E" w14:textId="0ECB0B52"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a living parable of how deeply the Christian moral imagination has shaped us — even when we think we have left it behind.</w:t>
      </w:r>
    </w:p>
    <w:p w14:paraId="0157E8F7" w14:textId="77777777" w:rsidR="00A33FD5" w:rsidRPr="00A33FD5" w:rsidRDefault="00A33FD5" w:rsidP="00A33FD5">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33FD5">
        <w:rPr>
          <w:rFonts w:ascii="Times New Roman" w:eastAsia="Times New Roman" w:hAnsi="Times New Roman" w:cs="Times New Roman"/>
          <w:b/>
          <w:bCs/>
          <w:kern w:val="36"/>
          <w:sz w:val="48"/>
          <w:szCs w:val="48"/>
          <w14:ligatures w14:val="none"/>
        </w:rPr>
        <w:lastRenderedPageBreak/>
        <w:t>Summing Up: The Entangled Witness</w:t>
      </w:r>
    </w:p>
    <w:p w14:paraId="24910175"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The cognitive and moral quanta do not prove Christianity in a mathematical sense. But they reveal something harder to dismiss: a deep structural resonance between the way humans are built and the moral universe we inhabit. One quantum shows that belief is native to human cognition and generative of human flourishing. The other shows that the moral architecture of the West — the very grammar of our compassion — is unintelligible apart from Christianity.</w:t>
      </w:r>
    </w:p>
    <w:p w14:paraId="69F1A20B"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Together they form an entangled witness.</w:t>
      </w:r>
    </w:p>
    <w:p w14:paraId="75E282B5" w14:textId="77777777"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A witness that suggests the Christian story is not merely one option among many, but the story that best explains why we think, feel, hope, and moralize the way we do.</w:t>
      </w:r>
    </w:p>
    <w:p w14:paraId="30962757" w14:textId="39445DB0" w:rsidR="00A33FD5" w:rsidRPr="00A33FD5" w:rsidRDefault="00A33FD5" w:rsidP="00A33FD5">
      <w:p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A story large enough for the human soul.</w:t>
      </w:r>
    </w:p>
    <w:p w14:paraId="0B700814" w14:textId="77777777" w:rsidR="00A33FD5" w:rsidRPr="00A33FD5" w:rsidRDefault="00A33FD5" w:rsidP="00A33FD5">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33FD5">
        <w:rPr>
          <w:rFonts w:ascii="Times New Roman" w:eastAsia="Times New Roman" w:hAnsi="Times New Roman" w:cs="Times New Roman"/>
          <w:b/>
          <w:bCs/>
          <w:kern w:val="36"/>
          <w:sz w:val="48"/>
          <w:szCs w:val="48"/>
          <w14:ligatures w14:val="none"/>
        </w:rPr>
        <w:t>Footnotes</w:t>
      </w:r>
    </w:p>
    <w:p w14:paraId="63F2A814"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Friedrich Nietzsche, </w:t>
      </w:r>
      <w:r w:rsidRPr="00A33FD5">
        <w:rPr>
          <w:rFonts w:ascii="Times New Roman" w:eastAsia="Times New Roman" w:hAnsi="Times New Roman" w:cs="Times New Roman"/>
          <w:i/>
          <w:iCs/>
          <w:kern w:val="0"/>
          <w14:ligatures w14:val="none"/>
        </w:rPr>
        <w:t>On the Genealogy of Morals</w:t>
      </w:r>
      <w:r w:rsidRPr="00A33FD5">
        <w:rPr>
          <w:rFonts w:ascii="Times New Roman" w:eastAsia="Times New Roman" w:hAnsi="Times New Roman" w:cs="Times New Roman"/>
          <w:kern w:val="0"/>
          <w14:ligatures w14:val="none"/>
        </w:rPr>
        <w:t>, trans. Walter Kaufmann (New York: Vintage, 1989), I.7.</w:t>
      </w:r>
    </w:p>
    <w:p w14:paraId="6F26E5AC"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Nietzsche, </w:t>
      </w:r>
      <w:r w:rsidRPr="00A33FD5">
        <w:rPr>
          <w:rFonts w:ascii="Times New Roman" w:eastAsia="Times New Roman" w:hAnsi="Times New Roman" w:cs="Times New Roman"/>
          <w:i/>
          <w:iCs/>
          <w:kern w:val="0"/>
          <w14:ligatures w14:val="none"/>
        </w:rPr>
        <w:t>Genealogy of Morals</w:t>
      </w:r>
      <w:r w:rsidRPr="00A33FD5">
        <w:rPr>
          <w:rFonts w:ascii="Times New Roman" w:eastAsia="Times New Roman" w:hAnsi="Times New Roman" w:cs="Times New Roman"/>
          <w:kern w:val="0"/>
          <w14:ligatures w14:val="none"/>
        </w:rPr>
        <w:t>, Preface, §1.</w:t>
      </w:r>
    </w:p>
    <w:p w14:paraId="4245F297"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Bart D. Ehrman, </w:t>
      </w:r>
      <w:r w:rsidRPr="00A33FD5">
        <w:rPr>
          <w:rFonts w:ascii="Times New Roman" w:eastAsia="Times New Roman" w:hAnsi="Times New Roman" w:cs="Times New Roman"/>
          <w:i/>
          <w:iCs/>
          <w:kern w:val="0"/>
          <w14:ligatures w14:val="none"/>
        </w:rPr>
        <w:t>Love Thy Neighbor: How the Greatest Commandment Protects Us</w:t>
      </w:r>
      <w:r w:rsidRPr="00A33FD5">
        <w:rPr>
          <w:rFonts w:ascii="Times New Roman" w:eastAsia="Times New Roman" w:hAnsi="Times New Roman" w:cs="Times New Roman"/>
          <w:kern w:val="0"/>
          <w14:ligatures w14:val="none"/>
        </w:rPr>
        <w:t xml:space="preserve"> (New York: Simon &amp; Schuster, 2024), Introduction.</w:t>
      </w:r>
    </w:p>
    <w:p w14:paraId="1078757B"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Ehrman, </w:t>
      </w:r>
      <w:r w:rsidRPr="00A33FD5">
        <w:rPr>
          <w:rFonts w:ascii="Times New Roman" w:eastAsia="Times New Roman" w:hAnsi="Times New Roman" w:cs="Times New Roman"/>
          <w:i/>
          <w:iCs/>
          <w:kern w:val="0"/>
          <w14:ligatures w14:val="none"/>
        </w:rPr>
        <w:t>Love Thy Neighbor</w:t>
      </w:r>
      <w:r w:rsidRPr="00A33FD5">
        <w:rPr>
          <w:rFonts w:ascii="Times New Roman" w:eastAsia="Times New Roman" w:hAnsi="Times New Roman" w:cs="Times New Roman"/>
          <w:kern w:val="0"/>
          <w14:ligatures w14:val="none"/>
        </w:rPr>
        <w:t xml:space="preserve">, </w:t>
      </w:r>
      <w:proofErr w:type="spellStart"/>
      <w:r w:rsidRPr="00A33FD5">
        <w:rPr>
          <w:rFonts w:ascii="Times New Roman" w:eastAsia="Times New Roman" w:hAnsi="Times New Roman" w:cs="Times New Roman"/>
          <w:kern w:val="0"/>
          <w14:ligatures w14:val="none"/>
        </w:rPr>
        <w:t>ch.</w:t>
      </w:r>
      <w:proofErr w:type="spellEnd"/>
      <w:r w:rsidRPr="00A33FD5">
        <w:rPr>
          <w:rFonts w:ascii="Times New Roman" w:eastAsia="Times New Roman" w:hAnsi="Times New Roman" w:cs="Times New Roman"/>
          <w:kern w:val="0"/>
          <w14:ligatures w14:val="none"/>
        </w:rPr>
        <w:t xml:space="preserve"> 2.</w:t>
      </w:r>
    </w:p>
    <w:p w14:paraId="783FB55D"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Bart Ehrman, interview with [source], timestamp [insert if known].</w:t>
      </w:r>
    </w:p>
    <w:p w14:paraId="3F1DAE24"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Ehrman, </w:t>
      </w:r>
      <w:r w:rsidRPr="00A33FD5">
        <w:rPr>
          <w:rFonts w:ascii="Times New Roman" w:eastAsia="Times New Roman" w:hAnsi="Times New Roman" w:cs="Times New Roman"/>
          <w:i/>
          <w:iCs/>
          <w:kern w:val="0"/>
          <w14:ligatures w14:val="none"/>
        </w:rPr>
        <w:t>Love Thy Neighbor</w:t>
      </w:r>
      <w:r w:rsidRPr="00A33FD5">
        <w:rPr>
          <w:rFonts w:ascii="Times New Roman" w:eastAsia="Times New Roman" w:hAnsi="Times New Roman" w:cs="Times New Roman"/>
          <w:kern w:val="0"/>
          <w14:ligatures w14:val="none"/>
        </w:rPr>
        <w:t xml:space="preserve">, </w:t>
      </w:r>
      <w:proofErr w:type="spellStart"/>
      <w:r w:rsidRPr="00A33FD5">
        <w:rPr>
          <w:rFonts w:ascii="Times New Roman" w:eastAsia="Times New Roman" w:hAnsi="Times New Roman" w:cs="Times New Roman"/>
          <w:kern w:val="0"/>
          <w14:ligatures w14:val="none"/>
        </w:rPr>
        <w:t>ch.</w:t>
      </w:r>
      <w:proofErr w:type="spellEnd"/>
      <w:r w:rsidRPr="00A33FD5">
        <w:rPr>
          <w:rFonts w:ascii="Times New Roman" w:eastAsia="Times New Roman" w:hAnsi="Times New Roman" w:cs="Times New Roman"/>
          <w:kern w:val="0"/>
          <w14:ligatures w14:val="none"/>
        </w:rPr>
        <w:t xml:space="preserve"> 5.</w:t>
      </w:r>
    </w:p>
    <w:p w14:paraId="70AE7092"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Tom Holland, </w:t>
      </w:r>
      <w:r w:rsidRPr="00A33FD5">
        <w:rPr>
          <w:rFonts w:ascii="Times New Roman" w:eastAsia="Times New Roman" w:hAnsi="Times New Roman" w:cs="Times New Roman"/>
          <w:i/>
          <w:iCs/>
          <w:kern w:val="0"/>
          <w14:ligatures w14:val="none"/>
        </w:rPr>
        <w:t>Dominion: How the Christian Revolution Remade the World</w:t>
      </w:r>
      <w:r w:rsidRPr="00A33FD5">
        <w:rPr>
          <w:rFonts w:ascii="Times New Roman" w:eastAsia="Times New Roman" w:hAnsi="Times New Roman" w:cs="Times New Roman"/>
          <w:kern w:val="0"/>
          <w14:ligatures w14:val="none"/>
        </w:rPr>
        <w:t xml:space="preserve"> (New York: Basic Books, 2019), Introduction.</w:t>
      </w:r>
    </w:p>
    <w:p w14:paraId="6F21748B"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Holland, </w:t>
      </w:r>
      <w:r w:rsidRPr="00A33FD5">
        <w:rPr>
          <w:rFonts w:ascii="Times New Roman" w:eastAsia="Times New Roman" w:hAnsi="Times New Roman" w:cs="Times New Roman"/>
          <w:i/>
          <w:iCs/>
          <w:kern w:val="0"/>
          <w14:ligatures w14:val="none"/>
        </w:rPr>
        <w:t>Dominion</w:t>
      </w:r>
      <w:r w:rsidRPr="00A33FD5">
        <w:rPr>
          <w:rFonts w:ascii="Times New Roman" w:eastAsia="Times New Roman" w:hAnsi="Times New Roman" w:cs="Times New Roman"/>
          <w:kern w:val="0"/>
          <w14:ligatures w14:val="none"/>
        </w:rPr>
        <w:t xml:space="preserve">, </w:t>
      </w:r>
      <w:proofErr w:type="spellStart"/>
      <w:r w:rsidRPr="00A33FD5">
        <w:rPr>
          <w:rFonts w:ascii="Times New Roman" w:eastAsia="Times New Roman" w:hAnsi="Times New Roman" w:cs="Times New Roman"/>
          <w:kern w:val="0"/>
          <w14:ligatures w14:val="none"/>
        </w:rPr>
        <w:t>ch.</w:t>
      </w:r>
      <w:proofErr w:type="spellEnd"/>
      <w:r w:rsidRPr="00A33FD5">
        <w:rPr>
          <w:rFonts w:ascii="Times New Roman" w:eastAsia="Times New Roman" w:hAnsi="Times New Roman" w:cs="Times New Roman"/>
          <w:kern w:val="0"/>
          <w14:ligatures w14:val="none"/>
        </w:rPr>
        <w:t xml:space="preserve"> 1.</w:t>
      </w:r>
    </w:p>
    <w:p w14:paraId="7180DAB9"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Holland, </w:t>
      </w:r>
      <w:r w:rsidRPr="00A33FD5">
        <w:rPr>
          <w:rFonts w:ascii="Times New Roman" w:eastAsia="Times New Roman" w:hAnsi="Times New Roman" w:cs="Times New Roman"/>
          <w:i/>
          <w:iCs/>
          <w:kern w:val="0"/>
          <w14:ligatures w14:val="none"/>
        </w:rPr>
        <w:t>Dominion</w:t>
      </w:r>
      <w:r w:rsidRPr="00A33FD5">
        <w:rPr>
          <w:rFonts w:ascii="Times New Roman" w:eastAsia="Times New Roman" w:hAnsi="Times New Roman" w:cs="Times New Roman"/>
          <w:kern w:val="0"/>
          <w14:ligatures w14:val="none"/>
        </w:rPr>
        <w:t>, Conclusion.</w:t>
      </w:r>
    </w:p>
    <w:p w14:paraId="7753F080"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Charles Taylor, </w:t>
      </w:r>
      <w:r w:rsidRPr="00A33FD5">
        <w:rPr>
          <w:rFonts w:ascii="Times New Roman" w:eastAsia="Times New Roman" w:hAnsi="Times New Roman" w:cs="Times New Roman"/>
          <w:i/>
          <w:iCs/>
          <w:kern w:val="0"/>
          <w14:ligatures w14:val="none"/>
        </w:rPr>
        <w:t>Sources of the Self: The Making of the Modern Identity</w:t>
      </w:r>
      <w:r w:rsidRPr="00A33FD5">
        <w:rPr>
          <w:rFonts w:ascii="Times New Roman" w:eastAsia="Times New Roman" w:hAnsi="Times New Roman" w:cs="Times New Roman"/>
          <w:kern w:val="0"/>
          <w14:ligatures w14:val="none"/>
        </w:rPr>
        <w:t xml:space="preserve"> (Cambridge, MA: Harvard University Press, 1989), 516–520.</w:t>
      </w:r>
    </w:p>
    <w:p w14:paraId="6A3E6418"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George Scialabba, “A Review of Charles Taylor’s </w:t>
      </w:r>
      <w:r w:rsidRPr="00A33FD5">
        <w:rPr>
          <w:rFonts w:ascii="Times New Roman" w:eastAsia="Times New Roman" w:hAnsi="Times New Roman" w:cs="Times New Roman"/>
          <w:i/>
          <w:iCs/>
          <w:kern w:val="0"/>
          <w14:ligatures w14:val="none"/>
        </w:rPr>
        <w:t>A Secular Age</w:t>
      </w:r>
      <w:r w:rsidRPr="00A33FD5">
        <w:rPr>
          <w:rFonts w:ascii="Times New Roman" w:eastAsia="Times New Roman" w:hAnsi="Times New Roman" w:cs="Times New Roman"/>
          <w:kern w:val="0"/>
          <w14:ligatures w14:val="none"/>
        </w:rPr>
        <w:t xml:space="preserve">,” </w:t>
      </w:r>
      <w:r w:rsidRPr="00A33FD5">
        <w:rPr>
          <w:rFonts w:ascii="Times New Roman" w:eastAsia="Times New Roman" w:hAnsi="Times New Roman" w:cs="Times New Roman"/>
          <w:i/>
          <w:iCs/>
          <w:kern w:val="0"/>
          <w14:ligatures w14:val="none"/>
        </w:rPr>
        <w:t>The Nation</w:t>
      </w:r>
      <w:r w:rsidRPr="00A33FD5">
        <w:rPr>
          <w:rFonts w:ascii="Times New Roman" w:eastAsia="Times New Roman" w:hAnsi="Times New Roman" w:cs="Times New Roman"/>
          <w:kern w:val="0"/>
          <w14:ligatures w14:val="none"/>
        </w:rPr>
        <w:t>, November 19, 2007.</w:t>
      </w:r>
    </w:p>
    <w:p w14:paraId="7692E7D3" w14:textId="77777777" w:rsidR="00A33FD5" w:rsidRPr="00A33FD5" w:rsidRDefault="00A33FD5" w:rsidP="00A33FD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33FD5">
        <w:rPr>
          <w:rFonts w:ascii="Times New Roman" w:eastAsia="Times New Roman" w:hAnsi="Times New Roman" w:cs="Times New Roman"/>
          <w:kern w:val="0"/>
          <w14:ligatures w14:val="none"/>
        </w:rPr>
        <w:t xml:space="preserve">Scialabba, “A Review of Charles Taylor’s </w:t>
      </w:r>
      <w:r w:rsidRPr="00A33FD5">
        <w:rPr>
          <w:rFonts w:ascii="Times New Roman" w:eastAsia="Times New Roman" w:hAnsi="Times New Roman" w:cs="Times New Roman"/>
          <w:i/>
          <w:iCs/>
          <w:kern w:val="0"/>
          <w14:ligatures w14:val="none"/>
        </w:rPr>
        <w:t>A Secular Age</w:t>
      </w:r>
      <w:r w:rsidRPr="00A33FD5">
        <w:rPr>
          <w:rFonts w:ascii="Times New Roman" w:eastAsia="Times New Roman" w:hAnsi="Times New Roman" w:cs="Times New Roman"/>
          <w:kern w:val="0"/>
          <w14:ligatures w14:val="none"/>
        </w:rPr>
        <w:t>.”</w:t>
      </w:r>
    </w:p>
    <w:sectPr w:rsidR="00A33FD5" w:rsidRPr="00A33F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4177D5"/>
    <w:multiLevelType w:val="multilevel"/>
    <w:tmpl w:val="D49E3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0630FF"/>
    <w:multiLevelType w:val="multilevel"/>
    <w:tmpl w:val="A5646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06454281">
    <w:abstractNumId w:val="1"/>
  </w:num>
  <w:num w:numId="2" w16cid:durableId="67197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FD5"/>
    <w:rsid w:val="002A492E"/>
    <w:rsid w:val="00587F46"/>
    <w:rsid w:val="005F4172"/>
    <w:rsid w:val="007B202B"/>
    <w:rsid w:val="008300FB"/>
    <w:rsid w:val="00A33FD5"/>
    <w:rsid w:val="00AB5B8B"/>
    <w:rsid w:val="00B64D3E"/>
    <w:rsid w:val="00C53A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C5B76"/>
  <w15:chartTrackingRefBased/>
  <w15:docId w15:val="{A3F5F2AE-1C0B-4642-AA3A-39835ED73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3FD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33FD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33FD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33FD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33FD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33F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3F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3F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3F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FD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33FD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33FD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33FD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33FD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33F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3F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3F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3FD5"/>
    <w:rPr>
      <w:rFonts w:eastAsiaTheme="majorEastAsia" w:cstheme="majorBidi"/>
      <w:color w:val="272727" w:themeColor="text1" w:themeTint="D8"/>
    </w:rPr>
  </w:style>
  <w:style w:type="paragraph" w:styleId="Title">
    <w:name w:val="Title"/>
    <w:basedOn w:val="Normal"/>
    <w:next w:val="Normal"/>
    <w:link w:val="TitleChar"/>
    <w:uiPriority w:val="10"/>
    <w:qFormat/>
    <w:rsid w:val="00A33F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3F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3F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3F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3FD5"/>
    <w:pPr>
      <w:spacing w:before="160"/>
      <w:jc w:val="center"/>
    </w:pPr>
    <w:rPr>
      <w:i/>
      <w:iCs/>
      <w:color w:val="404040" w:themeColor="text1" w:themeTint="BF"/>
    </w:rPr>
  </w:style>
  <w:style w:type="character" w:customStyle="1" w:styleId="QuoteChar">
    <w:name w:val="Quote Char"/>
    <w:basedOn w:val="DefaultParagraphFont"/>
    <w:link w:val="Quote"/>
    <w:uiPriority w:val="29"/>
    <w:rsid w:val="00A33FD5"/>
    <w:rPr>
      <w:i/>
      <w:iCs/>
      <w:color w:val="404040" w:themeColor="text1" w:themeTint="BF"/>
    </w:rPr>
  </w:style>
  <w:style w:type="paragraph" w:styleId="ListParagraph">
    <w:name w:val="List Paragraph"/>
    <w:basedOn w:val="Normal"/>
    <w:uiPriority w:val="34"/>
    <w:qFormat/>
    <w:rsid w:val="00A33FD5"/>
    <w:pPr>
      <w:ind w:left="720"/>
      <w:contextualSpacing/>
    </w:pPr>
  </w:style>
  <w:style w:type="character" w:styleId="IntenseEmphasis">
    <w:name w:val="Intense Emphasis"/>
    <w:basedOn w:val="DefaultParagraphFont"/>
    <w:uiPriority w:val="21"/>
    <w:qFormat/>
    <w:rsid w:val="00A33FD5"/>
    <w:rPr>
      <w:i/>
      <w:iCs/>
      <w:color w:val="2F5496" w:themeColor="accent1" w:themeShade="BF"/>
    </w:rPr>
  </w:style>
  <w:style w:type="paragraph" w:styleId="IntenseQuote">
    <w:name w:val="Intense Quote"/>
    <w:basedOn w:val="Normal"/>
    <w:next w:val="Normal"/>
    <w:link w:val="IntenseQuoteChar"/>
    <w:uiPriority w:val="30"/>
    <w:qFormat/>
    <w:rsid w:val="00A33FD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33FD5"/>
    <w:rPr>
      <w:i/>
      <w:iCs/>
      <w:color w:val="2F5496" w:themeColor="accent1" w:themeShade="BF"/>
    </w:rPr>
  </w:style>
  <w:style w:type="character" w:styleId="IntenseReference">
    <w:name w:val="Intense Reference"/>
    <w:basedOn w:val="DefaultParagraphFont"/>
    <w:uiPriority w:val="32"/>
    <w:qFormat/>
    <w:rsid w:val="00A33FD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1545</Words>
  <Characters>8811</Characters>
  <Application>Microsoft Office Word</Application>
  <DocSecurity>0</DocSecurity>
  <Lines>73</Lines>
  <Paragraphs>20</Paragraphs>
  <ScaleCrop>false</ScaleCrop>
  <Company/>
  <LinksUpToDate>false</LinksUpToDate>
  <CharactersWithSpaces>10336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2026-04-06T21:55:00Z</dcterms:created>
  <dcterms:modified xsi:type="dcterms:W3CDTF">2026-04-06T22:02:00Z</dcterms:modified>
</cp:coreProperties>
</file>